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F8F3E" w14:textId="77777777" w:rsidR="005853D3" w:rsidRDefault="005853D3" w:rsidP="005853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12D3B">
        <w:rPr>
          <w:rFonts w:ascii="Times New Roman" w:hAnsi="Times New Roman" w:cs="Times New Roman"/>
          <w:color w:val="FF0000"/>
          <w:sz w:val="28"/>
          <w:szCs w:val="28"/>
        </w:rPr>
        <w:t>Ответы к теме 8</w:t>
      </w:r>
    </w:p>
    <w:p w14:paraId="6EF6E5C2" w14:textId="77777777" w:rsidR="005853D3" w:rsidRDefault="005853D3" w:rsidP="005853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Критика </w:t>
      </w:r>
    </w:p>
    <w:p w14:paraId="10D93213" w14:textId="77777777" w:rsidR="005853D3" w:rsidRPr="002E1C36" w:rsidRDefault="005853D3" w:rsidP="005853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E1C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 А</w:t>
      </w:r>
    </w:p>
    <w:p w14:paraId="7762BA45" w14:textId="77777777" w:rsidR="005853D3" w:rsidRPr="00624FF2" w:rsidRDefault="005853D3" w:rsidP="005853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Точное название. </w:t>
      </w:r>
      <w:r w:rsidRPr="00624FF2">
        <w:rPr>
          <w:rFonts w:ascii="Times New Roman" w:hAnsi="Times New Roman" w:cs="Times New Roman"/>
          <w:sz w:val="28"/>
          <w:szCs w:val="28"/>
        </w:rPr>
        <w:t xml:space="preserve">В названии были указаны сравниваемые </w:t>
      </w:r>
      <w:r>
        <w:rPr>
          <w:rFonts w:ascii="Times New Roman" w:hAnsi="Times New Roman" w:cs="Times New Roman"/>
          <w:sz w:val="28"/>
          <w:szCs w:val="28"/>
        </w:rPr>
        <w:t>альтернативы</w:t>
      </w:r>
      <w:r w:rsidRPr="00624F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24FF2">
        <w:rPr>
          <w:rFonts w:ascii="Times New Roman" w:hAnsi="Times New Roman" w:cs="Times New Roman"/>
          <w:sz w:val="28"/>
          <w:szCs w:val="28"/>
        </w:rPr>
        <w:t xml:space="preserve"> тип исследования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4FF2">
        <w:rPr>
          <w:rFonts w:ascii="Times New Roman" w:hAnsi="Times New Roman" w:cs="Times New Roman"/>
          <w:sz w:val="28"/>
          <w:szCs w:val="28"/>
        </w:rPr>
        <w:t xml:space="preserve"> анализ экономической эффективности.</w:t>
      </w:r>
    </w:p>
    <w:p w14:paraId="2190F230" w14:textId="77777777" w:rsidR="005853D3" w:rsidRPr="00624FF2" w:rsidRDefault="005853D3" w:rsidP="005853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 xml:space="preserve">2. Цель </w:t>
      </w:r>
      <w:r>
        <w:rPr>
          <w:rFonts w:ascii="Times New Roman" w:hAnsi="Times New Roman" w:cs="Times New Roman"/>
          <w:sz w:val="28"/>
          <w:szCs w:val="28"/>
        </w:rPr>
        <w:t>четкая. С</w:t>
      </w:r>
      <w:r w:rsidRPr="00624FF2">
        <w:rPr>
          <w:rFonts w:ascii="Times New Roman" w:hAnsi="Times New Roman" w:cs="Times New Roman"/>
          <w:sz w:val="28"/>
          <w:szCs w:val="28"/>
        </w:rPr>
        <w:t>остояла в том, чтобы определить экономическую 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между двумя альтернативами</w:t>
      </w:r>
      <w:r w:rsidRPr="00624FF2">
        <w:rPr>
          <w:rFonts w:ascii="Times New Roman" w:hAnsi="Times New Roman" w:cs="Times New Roman"/>
          <w:sz w:val="28"/>
          <w:szCs w:val="28"/>
        </w:rPr>
        <w:t>.</w:t>
      </w:r>
    </w:p>
    <w:p w14:paraId="50A7DE7F" w14:textId="77777777" w:rsidR="005853D3" w:rsidRPr="00624FF2" w:rsidRDefault="005853D3" w:rsidP="005853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>3. Авторы указали, что это два новых препарата с одинаковым новым механизмом действия. Читателям необходимо будет ознакомиться со ссылками, приведенными в “реальных” статьях, чтобы определить, являются ли эти альтернативы клинически значимыми.</w:t>
      </w:r>
    </w:p>
    <w:p w14:paraId="530F9DC7" w14:textId="77777777" w:rsidR="005853D3" w:rsidRPr="00624FF2" w:rsidRDefault="005853D3" w:rsidP="005853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24FF2">
        <w:rPr>
          <w:rFonts w:ascii="Times New Roman" w:hAnsi="Times New Roman" w:cs="Times New Roman"/>
          <w:sz w:val="28"/>
          <w:szCs w:val="28"/>
        </w:rPr>
        <w:t>ледует предоставить дополнительную информацию о дозировании (способ введения, частота введения, доза каждого введения) для обоих препаратов.</w:t>
      </w:r>
    </w:p>
    <w:p w14:paraId="1924CDDC" w14:textId="77777777" w:rsidR="005853D3" w:rsidRPr="00624FF2" w:rsidRDefault="005853D3" w:rsidP="005853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 xml:space="preserve">5. Перспектива исследования была четко сформулирована как </w:t>
      </w:r>
      <w:r>
        <w:rPr>
          <w:rFonts w:ascii="Times New Roman" w:hAnsi="Times New Roman" w:cs="Times New Roman"/>
          <w:sz w:val="28"/>
          <w:szCs w:val="28"/>
        </w:rPr>
        <w:t>общественная</w:t>
      </w:r>
      <w:r w:rsidRPr="00624FF2">
        <w:rPr>
          <w:rFonts w:ascii="Times New Roman" w:hAnsi="Times New Roman" w:cs="Times New Roman"/>
          <w:sz w:val="28"/>
          <w:szCs w:val="28"/>
        </w:rPr>
        <w:t>.</w:t>
      </w:r>
    </w:p>
    <w:p w14:paraId="33FA4059" w14:textId="77777777" w:rsidR="005853D3" w:rsidRPr="00624FF2" w:rsidRDefault="005853D3" w:rsidP="005853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 xml:space="preserve">6. Исследование было правильно идентифицировано как </w:t>
      </w:r>
      <w:r>
        <w:rPr>
          <w:rFonts w:ascii="Times New Roman" w:hAnsi="Times New Roman" w:cs="Times New Roman"/>
          <w:sz w:val="28"/>
          <w:szCs w:val="28"/>
        </w:rPr>
        <w:t>анализ экономической эффективности</w:t>
      </w:r>
      <w:r w:rsidRPr="00624FF2">
        <w:rPr>
          <w:rFonts w:ascii="Times New Roman" w:hAnsi="Times New Roman" w:cs="Times New Roman"/>
          <w:sz w:val="28"/>
          <w:szCs w:val="28"/>
        </w:rPr>
        <w:t>, потому что результаты были измерены с использованием как баллов ACR, так и баллов AIMS2 (= клинические единицы). Поскольку степень клинического улучшения для двух препаратов была настолько схожей, некоторые авторы могли бы назвать это анализом минимизации затрат.</w:t>
      </w:r>
    </w:p>
    <w:p w14:paraId="22835E7D" w14:textId="77777777" w:rsidR="005853D3" w:rsidRPr="00624FF2" w:rsidRDefault="005853D3" w:rsidP="005853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>7. Исходя из социальной перспективы, были включены прямые медицинские, прямые немедицинские расходы (расходы из собственного кармана на такие расходы, как помощь по хозяйству) и затраты на производительность. Хотя большая часть данных была взята из дневников пациентов, авторы могли бы объяснить, как они соотносили затраты с этими данными.</w:t>
      </w:r>
    </w:p>
    <w:p w14:paraId="24CCB82E" w14:textId="77777777" w:rsidR="005853D3" w:rsidRPr="00624FF2" w:rsidRDefault="005853D3" w:rsidP="005853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>8. Оценки ACR часто используются в клинических испытаниях для оценки изменений при РА, но авторы не описали этот метод оценки клинических результатов (хотя они предоставили веб-сайт). AIMS2 является распространенным инструментом для измерения изменений состояния здоровья при РА. Другими инструментами обследования, используемыми при РА, являются Оценка активности заболевания и Вопросник по оценке состояния здоровья. Авторы должны были указать, почему были выбраны показатели ACR и AIMS2 для измерения изменений в состоянии здоровья, связанного с РА.</w:t>
      </w:r>
    </w:p>
    <w:p w14:paraId="5CC27D39" w14:textId="77777777" w:rsidR="005853D3" w:rsidRPr="00624FF2" w:rsidRDefault="005853D3" w:rsidP="005853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>9. Авторы использовали затраты 2006 года, поэтому корректировка не требовалась. Исследование проводилось только за пациентами в течение 6 месяцев, поэтому дисконтирование не требовалось.</w:t>
      </w:r>
    </w:p>
    <w:p w14:paraId="2C4ADC9C" w14:textId="77777777" w:rsidR="005853D3" w:rsidRPr="00624FF2" w:rsidRDefault="005853D3" w:rsidP="005853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 xml:space="preserve">10. Неявное предположение состояло в том, что измеренные результаты были надежными и достоверными в этой популяции пациентов. Необходимо </w:t>
      </w:r>
      <w:r w:rsidRPr="00624FF2">
        <w:rPr>
          <w:rFonts w:ascii="Times New Roman" w:hAnsi="Times New Roman" w:cs="Times New Roman"/>
          <w:sz w:val="28"/>
          <w:szCs w:val="28"/>
        </w:rPr>
        <w:lastRenderedPageBreak/>
        <w:t>было провести проверки надежности и достоверности и сообщить о них. Например, коэффициент альфа (надежность) можно было бы рассчитать для элементов, составляющих физический компонент Шкалы измерения воздействия артрита (AIMS), или результаты можно было бы сравнить с более объективными лабораторными показателями (например, скоростью оседания эритроцитов), чтобы измерить достоверность критерия.</w:t>
      </w:r>
    </w:p>
    <w:p w14:paraId="4EFE0B89" w14:textId="77777777" w:rsidR="005853D3" w:rsidRPr="00624FF2" w:rsidRDefault="005853D3" w:rsidP="005853D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>11. Анализ чувствительности не проводился.</w:t>
      </w:r>
    </w:p>
    <w:p w14:paraId="030D6FD3" w14:textId="77777777" w:rsidR="005853D3" w:rsidRPr="00624FF2" w:rsidRDefault="005853D3" w:rsidP="005853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>12. Авторы не затрагивали никаких ограничений. Необходима дополнительная информация о двух изученных препаратах. Например, существуют ли различия в профилях побочных эффектов? Как выглядят профили безопасности? В последнее время один из НПВП, используемых у пациентов с РА, был снят с рынка из-за увеличения частоты проблем с сердцем. Кроме того, в исследовании не говорилось, проводилось ли долгосрочное тестирование этих лекарств. Достаточно ли 6 месяцев, чтобы увидеть полный эффект продуктов</w:t>
      </w:r>
      <w:r>
        <w:rPr>
          <w:rFonts w:ascii="Times New Roman" w:hAnsi="Times New Roman" w:cs="Times New Roman"/>
          <w:sz w:val="28"/>
          <w:szCs w:val="28"/>
        </w:rPr>
        <w:t>, в том числе побочный</w:t>
      </w:r>
      <w:r w:rsidRPr="00624FF2">
        <w:rPr>
          <w:rFonts w:ascii="Times New Roman" w:hAnsi="Times New Roman" w:cs="Times New Roman"/>
          <w:sz w:val="28"/>
          <w:szCs w:val="28"/>
        </w:rPr>
        <w:t>?</w:t>
      </w:r>
    </w:p>
    <w:p w14:paraId="35879817" w14:textId="77777777" w:rsidR="005853D3" w:rsidRPr="00624FF2" w:rsidRDefault="005853D3" w:rsidP="005853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>13. Авторы не сообщили демографические данные или тяжесть заболевания пациентов, включенных в исследование, поэтому трудно определить, представляют ли эти пациенты “среднего” пациента с РА.</w:t>
      </w:r>
    </w:p>
    <w:p w14:paraId="2DE28B2B" w14:textId="77777777" w:rsidR="005853D3" w:rsidRPr="00624FF2" w:rsidRDefault="005853D3" w:rsidP="005853D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 xml:space="preserve">14. Эти два препарата, по-видимому, обладают одинаковой эффективностью, но стоимость одного исследуемого препарата значительно ниже, чем другого. Авторы не дали полного описания исследуемых препаратов или исследуемой популяции, не указали никаких ограничений и не проводили анализ чувствительности. Как уже упоминалось, информация о побочных эффектах не упоминалась, и, если эти лекарства имеют разные профили побочных эффектов, это необходимо учитывать, прежде чем выбирать </w:t>
      </w:r>
      <w:r>
        <w:rPr>
          <w:rFonts w:ascii="Times New Roman" w:hAnsi="Times New Roman" w:cs="Times New Roman"/>
          <w:sz w:val="28"/>
          <w:szCs w:val="28"/>
        </w:rPr>
        <w:t>какую-либо из альтернатив</w:t>
      </w:r>
      <w:r w:rsidRPr="00624FF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853D3" w:rsidRPr="00624FF2" w14:paraId="6C2B1ED0" w14:textId="77777777" w:rsidTr="00F12EA8">
        <w:tc>
          <w:tcPr>
            <w:tcW w:w="2336" w:type="dxa"/>
            <w:tcBorders>
              <w:tl2br w:val="single" w:sz="4" w:space="0" w:color="auto"/>
            </w:tcBorders>
          </w:tcPr>
          <w:p w14:paraId="6701AECF" w14:textId="77777777" w:rsidR="005853D3" w:rsidRDefault="005853D3" w:rsidP="00F12EA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</w:t>
            </w:r>
          </w:p>
          <w:p w14:paraId="469C3243" w14:textId="77777777" w:rsidR="005853D3" w:rsidRDefault="005853D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40FFDD" w14:textId="77777777" w:rsidR="005853D3" w:rsidRPr="00624FF2" w:rsidRDefault="005853D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</w:p>
        </w:tc>
        <w:tc>
          <w:tcPr>
            <w:tcW w:w="2336" w:type="dxa"/>
          </w:tcPr>
          <w:p w14:paraId="65A4C515" w14:textId="77777777" w:rsidR="005853D3" w:rsidRPr="00624FF2" w:rsidRDefault="005853D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Более низкая стоимость</w:t>
            </w:r>
          </w:p>
        </w:tc>
        <w:tc>
          <w:tcPr>
            <w:tcW w:w="2336" w:type="dxa"/>
          </w:tcPr>
          <w:p w14:paraId="7D29A3F2" w14:textId="77777777" w:rsidR="005853D3" w:rsidRPr="00624FF2" w:rsidRDefault="005853D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Та же стоимость</w:t>
            </w:r>
          </w:p>
        </w:tc>
        <w:tc>
          <w:tcPr>
            <w:tcW w:w="2337" w:type="dxa"/>
          </w:tcPr>
          <w:p w14:paraId="41837BA4" w14:textId="77777777" w:rsidR="005853D3" w:rsidRPr="00624FF2" w:rsidRDefault="005853D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Более высокая стоимость</w:t>
            </w:r>
          </w:p>
        </w:tc>
      </w:tr>
      <w:tr w:rsidR="005853D3" w:rsidRPr="00624FF2" w14:paraId="393ED58D" w14:textId="77777777" w:rsidTr="00F12EA8">
        <w:tc>
          <w:tcPr>
            <w:tcW w:w="2336" w:type="dxa"/>
          </w:tcPr>
          <w:p w14:paraId="4D4A0267" w14:textId="77777777" w:rsidR="005853D3" w:rsidRPr="00624FF2" w:rsidRDefault="005853D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Менее эффективно</w:t>
            </w:r>
          </w:p>
        </w:tc>
        <w:tc>
          <w:tcPr>
            <w:tcW w:w="2336" w:type="dxa"/>
          </w:tcPr>
          <w:p w14:paraId="2B4B188A" w14:textId="77777777" w:rsidR="005853D3" w:rsidRPr="00624FF2" w:rsidRDefault="005853D3" w:rsidP="00F12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  <w:shd w:val="clear" w:color="auto" w:fill="E7E6E6" w:themeFill="background2"/>
          </w:tcPr>
          <w:p w14:paraId="7AF927EB" w14:textId="77777777" w:rsidR="005853D3" w:rsidRPr="00624FF2" w:rsidRDefault="005853D3" w:rsidP="00F12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</w:tc>
        <w:tc>
          <w:tcPr>
            <w:tcW w:w="2337" w:type="dxa"/>
            <w:shd w:val="clear" w:color="auto" w:fill="E7E6E6" w:themeFill="background2"/>
          </w:tcPr>
          <w:p w14:paraId="437D4EA5" w14:textId="77777777" w:rsidR="005853D3" w:rsidRPr="00624FF2" w:rsidRDefault="005853D3" w:rsidP="00F12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</w:p>
        </w:tc>
      </w:tr>
      <w:tr w:rsidR="005853D3" w:rsidRPr="00624FF2" w14:paraId="65EFB312" w14:textId="77777777" w:rsidTr="00F12EA8">
        <w:tc>
          <w:tcPr>
            <w:tcW w:w="2336" w:type="dxa"/>
          </w:tcPr>
          <w:p w14:paraId="3A93523F" w14:textId="77777777" w:rsidR="005853D3" w:rsidRPr="00624FF2" w:rsidRDefault="005853D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Такая же эффективность</w:t>
            </w:r>
          </w:p>
        </w:tc>
        <w:tc>
          <w:tcPr>
            <w:tcW w:w="2336" w:type="dxa"/>
            <w:shd w:val="clear" w:color="auto" w:fill="AEAAAA" w:themeFill="background2" w:themeFillShade="BF"/>
          </w:tcPr>
          <w:p w14:paraId="40C7146D" w14:textId="77777777" w:rsidR="005853D3" w:rsidRPr="00624FF2" w:rsidRDefault="005853D3" w:rsidP="00F12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2336" w:type="dxa"/>
          </w:tcPr>
          <w:p w14:paraId="306775C3" w14:textId="77777777" w:rsidR="005853D3" w:rsidRPr="00624FF2" w:rsidRDefault="005853D3" w:rsidP="00F12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2337" w:type="dxa"/>
            <w:shd w:val="clear" w:color="auto" w:fill="E7E6E6" w:themeFill="background2"/>
          </w:tcPr>
          <w:p w14:paraId="0C1D7D5B" w14:textId="77777777" w:rsidR="005853D3" w:rsidRPr="00624FF2" w:rsidRDefault="005853D3" w:rsidP="00F12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14:paraId="625EB26C" w14:textId="77777777" w:rsidR="005853D3" w:rsidRPr="00624FF2" w:rsidRDefault="005853D3" w:rsidP="00F12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«Дж»</w:t>
            </w: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 сравнивали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«Инф»</w:t>
            </w: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ACR</w:t>
            </w:r>
          </w:p>
        </w:tc>
      </w:tr>
      <w:tr w:rsidR="005853D3" w:rsidRPr="00624FF2" w14:paraId="0E99F541" w14:textId="77777777" w:rsidTr="00F12EA8">
        <w:tc>
          <w:tcPr>
            <w:tcW w:w="2336" w:type="dxa"/>
          </w:tcPr>
          <w:p w14:paraId="37B5B193" w14:textId="77777777" w:rsidR="005853D3" w:rsidRPr="00624FF2" w:rsidRDefault="005853D3" w:rsidP="00F1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Более эффективно</w:t>
            </w:r>
          </w:p>
        </w:tc>
        <w:tc>
          <w:tcPr>
            <w:tcW w:w="2336" w:type="dxa"/>
            <w:shd w:val="clear" w:color="auto" w:fill="AEAAAA" w:themeFill="background2" w:themeFillShade="BF"/>
          </w:tcPr>
          <w:p w14:paraId="506A2DCB" w14:textId="77777777" w:rsidR="005853D3" w:rsidRPr="00624FF2" w:rsidRDefault="005853D3" w:rsidP="00F12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  <w:tc>
          <w:tcPr>
            <w:tcW w:w="2336" w:type="dxa"/>
            <w:shd w:val="clear" w:color="auto" w:fill="AEAAAA" w:themeFill="background2" w:themeFillShade="BF"/>
          </w:tcPr>
          <w:p w14:paraId="146B92F9" w14:textId="77777777" w:rsidR="005853D3" w:rsidRPr="00624FF2" w:rsidRDefault="005853D3" w:rsidP="00F12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</w:p>
        </w:tc>
        <w:tc>
          <w:tcPr>
            <w:tcW w:w="2337" w:type="dxa"/>
          </w:tcPr>
          <w:p w14:paraId="7DF22635" w14:textId="77777777" w:rsidR="005853D3" w:rsidRPr="00624FF2" w:rsidRDefault="005853D3" w:rsidP="00F12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14:paraId="4DB0B198" w14:textId="77777777" w:rsidR="005853D3" w:rsidRPr="00624FF2" w:rsidRDefault="005853D3" w:rsidP="00F12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» сравнивали 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</w:t>
            </w: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624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AIMS</w:t>
            </w:r>
            <w:r w:rsidRPr="00624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43627AB5" w14:textId="77777777" w:rsidR="005853D3" w:rsidRPr="007353B5" w:rsidRDefault="005853D3" w:rsidP="005853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Дж</w:t>
      </w:r>
      <w:r w:rsidRPr="00624FF2">
        <w:rPr>
          <w:rFonts w:ascii="Times New Roman" w:hAnsi="Times New Roman" w:cs="Times New Roman"/>
          <w:sz w:val="28"/>
          <w:szCs w:val="28"/>
        </w:rPr>
        <w:t xml:space="preserve">” – название препарата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Джоинтредьюс</w:t>
      </w:r>
      <w:proofErr w:type="spellEnd"/>
    </w:p>
    <w:p w14:paraId="340A3F28" w14:textId="77777777" w:rsidR="005853D3" w:rsidRPr="007353B5" w:rsidRDefault="005853D3" w:rsidP="005853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Инф</w:t>
      </w:r>
      <w:r w:rsidRPr="00624FF2">
        <w:rPr>
          <w:rFonts w:ascii="Times New Roman" w:hAnsi="Times New Roman" w:cs="Times New Roman"/>
          <w:sz w:val="28"/>
          <w:szCs w:val="28"/>
        </w:rPr>
        <w:t xml:space="preserve">” – название препарата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Инфламэвей</w:t>
      </w:r>
      <w:proofErr w:type="spellEnd"/>
    </w:p>
    <w:p w14:paraId="0825AD5D" w14:textId="77777777" w:rsidR="005853D3" w:rsidRDefault="005853D3" w:rsidP="00585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14:paraId="2878755F" w14:textId="77777777" w:rsidR="005853D3" w:rsidRPr="002E1C36" w:rsidRDefault="005853D3" w:rsidP="005853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1C3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Статья Б</w:t>
      </w:r>
    </w:p>
    <w:p w14:paraId="303B73E9" w14:textId="77777777" w:rsidR="005853D3" w:rsidRPr="00624FF2" w:rsidRDefault="005853D3" w:rsidP="005853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>1. В названии были указаны варианты и тип исследования.</w:t>
      </w:r>
    </w:p>
    <w:p w14:paraId="73DA8689" w14:textId="77777777" w:rsidR="005853D3" w:rsidRPr="00624FF2" w:rsidRDefault="005853D3" w:rsidP="005853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 xml:space="preserve">2. Цель этого исследования состояла в том, чтобы изучить экономическую эффективность и экономическую целесообразность стандартного обезболивающего/противовоспалительного лечения хронической боли в спине по сравнению со стандартным лечением с добавлением нового ингибитора обратного захвата серотонина и норэпинефрина (SNRI), называемого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Бактрамин</w:t>
      </w:r>
      <w:proofErr w:type="spellEnd"/>
      <w:r w:rsidRPr="00624FF2">
        <w:rPr>
          <w:rFonts w:ascii="Times New Roman" w:hAnsi="Times New Roman" w:cs="Times New Roman"/>
          <w:sz w:val="28"/>
          <w:szCs w:val="28"/>
        </w:rPr>
        <w:t>.</w:t>
      </w:r>
    </w:p>
    <w:p w14:paraId="21682E42" w14:textId="77777777" w:rsidR="005853D3" w:rsidRPr="00624FF2" w:rsidRDefault="005853D3" w:rsidP="005853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>3. Авторы указали, почему антидепрессант может быть добавлен в схему лечения, и указали, что результаты предыдущих исследований были неоднозначными.</w:t>
      </w:r>
    </w:p>
    <w:p w14:paraId="34C35073" w14:textId="77777777" w:rsidR="005853D3" w:rsidRPr="00624FF2" w:rsidRDefault="005853D3" w:rsidP="005853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>4. Были оговорены доза SNRI (60 мг) и дозировка (один раз в день). О “стандартной терапии” было рассказано не так уж много подробностей.</w:t>
      </w:r>
    </w:p>
    <w:p w14:paraId="43F227A4" w14:textId="77777777" w:rsidR="005853D3" w:rsidRPr="00624FF2" w:rsidRDefault="005853D3" w:rsidP="005853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24FF2">
        <w:rPr>
          <w:rFonts w:ascii="Times New Roman" w:hAnsi="Times New Roman" w:cs="Times New Roman"/>
          <w:sz w:val="28"/>
          <w:szCs w:val="28"/>
        </w:rPr>
        <w:t xml:space="preserve">ерспектива исследования не была изложена. Поскольку единственными затратами, которые были измерены, были затраты на лекарства, предполагается, что перспектива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4FF2">
        <w:rPr>
          <w:rFonts w:ascii="Times New Roman" w:hAnsi="Times New Roman" w:cs="Times New Roman"/>
          <w:sz w:val="28"/>
          <w:szCs w:val="28"/>
        </w:rPr>
        <w:t xml:space="preserve"> плательщик (пациент и/или страхова</w:t>
      </w:r>
      <w:r>
        <w:rPr>
          <w:rFonts w:ascii="Times New Roman" w:hAnsi="Times New Roman" w:cs="Times New Roman"/>
          <w:sz w:val="28"/>
          <w:szCs w:val="28"/>
        </w:rPr>
        <w:t>я компания в отношении покрытия стоимости</w:t>
      </w:r>
      <w:r w:rsidRPr="00624FF2">
        <w:rPr>
          <w:rFonts w:ascii="Times New Roman" w:hAnsi="Times New Roman" w:cs="Times New Roman"/>
          <w:sz w:val="28"/>
          <w:szCs w:val="28"/>
        </w:rPr>
        <w:t xml:space="preserve"> лекарств).</w:t>
      </w:r>
    </w:p>
    <w:p w14:paraId="3BE78C94" w14:textId="77777777" w:rsidR="005853D3" w:rsidRPr="00624FF2" w:rsidRDefault="005853D3" w:rsidP="005853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 xml:space="preserve">6. Исследование было правильно определено как </w:t>
      </w:r>
      <w:r>
        <w:rPr>
          <w:rFonts w:ascii="Times New Roman" w:hAnsi="Times New Roman" w:cs="Times New Roman"/>
          <w:sz w:val="28"/>
          <w:szCs w:val="28"/>
        </w:rPr>
        <w:t>анализ экономической эффективности</w:t>
      </w:r>
      <w:r w:rsidRPr="00624FF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анализ полезности затрат</w:t>
      </w:r>
      <w:r w:rsidRPr="00624FF2">
        <w:rPr>
          <w:rFonts w:ascii="Times New Roman" w:hAnsi="Times New Roman" w:cs="Times New Roman"/>
          <w:sz w:val="28"/>
          <w:szCs w:val="28"/>
        </w:rPr>
        <w:t>, потому что результаты были измерены с использованием как клинических единиц, о которых сообщили пациенты (интенсивность боли; дни боли; дни, пропущенные с работы), так и полезность (оценки EQ-5D и SF 6D).</w:t>
      </w:r>
    </w:p>
    <w:p w14:paraId="3D08E6FA" w14:textId="77777777" w:rsidR="005853D3" w:rsidRPr="00624FF2" w:rsidRDefault="005853D3" w:rsidP="005853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>7. Очень узкое измерение затрат. Уменьшение боли может также уменьшить использование других медицинских услуг и повысить продуктивность пациента — и то, и другое можно было бы оценить в денежном выражении. Оценить конкретную долларовую стоимость нематериальных выгод от уменьшения боли и улучшения функционирования было бы сложнее.</w:t>
      </w:r>
    </w:p>
    <w:p w14:paraId="1991DD2A" w14:textId="77777777" w:rsidR="005853D3" w:rsidRPr="00624FF2" w:rsidRDefault="005853D3" w:rsidP="005853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 xml:space="preserve">8. Существуют другие клинические показатели боли, которые обычно используются (например, шкала инвалидности Роланда), которые не были рассмотрены, и измерение боли только в двух точках (базовый уровень и 1-летний </w:t>
      </w:r>
      <w:proofErr w:type="spellStart"/>
      <w:r w:rsidRPr="00624FF2">
        <w:rPr>
          <w:rFonts w:ascii="Times New Roman" w:hAnsi="Times New Roman" w:cs="Times New Roman"/>
          <w:sz w:val="28"/>
          <w:szCs w:val="28"/>
        </w:rPr>
        <w:t>постиндекс</w:t>
      </w:r>
      <w:proofErr w:type="spellEnd"/>
      <w:r w:rsidRPr="00624FF2">
        <w:rPr>
          <w:rFonts w:ascii="Times New Roman" w:hAnsi="Times New Roman" w:cs="Times New Roman"/>
          <w:sz w:val="28"/>
          <w:szCs w:val="28"/>
        </w:rPr>
        <w:t>) пропускает изменения, которые происходят в течение года. Кроме того, пациентам может быть трудно вспомнить пропущенные рабочие дни или оценить средний уровень боли за такой длительный период. Никакой информации о побочных явлениях в двух группах не было. Например, распространенными эффектами ингибитора обратного захвата серотонина-норэпинефрина являются сухость во рту, головокружение, изменения аппетита и режима сна.</w:t>
      </w:r>
    </w:p>
    <w:p w14:paraId="0BDE4DA8" w14:textId="77777777" w:rsidR="005853D3" w:rsidRPr="00624FF2" w:rsidRDefault="005853D3" w:rsidP="005853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>9. Авторы использовали затраты 2012 года, поэтому корректировка не требовалась. Исследование проводилось только за пациентами в течение 12 месяцев, поэтому дисконтирование не требовалось.</w:t>
      </w:r>
    </w:p>
    <w:p w14:paraId="6A55DEC0" w14:textId="77777777" w:rsidR="005853D3" w:rsidRPr="00624FF2" w:rsidRDefault="005853D3" w:rsidP="005853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lastRenderedPageBreak/>
        <w:t>10. Неявное предположение состояло в том, что измеренные результаты были надежными и достоверными в этой популяции пациентов. Показатели результатов были недостаточно полными или оценивались недостаточно часто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24FF2">
        <w:rPr>
          <w:rFonts w:ascii="Times New Roman" w:hAnsi="Times New Roman" w:cs="Times New Roman"/>
          <w:sz w:val="28"/>
          <w:szCs w:val="28"/>
        </w:rPr>
        <w:t xml:space="preserve"> Было высказано предположение, что стоимость </w:t>
      </w:r>
      <w:proofErr w:type="spellStart"/>
      <w:r w:rsidRPr="00624FF2">
        <w:rPr>
          <w:rFonts w:ascii="Times New Roman" w:hAnsi="Times New Roman" w:cs="Times New Roman"/>
          <w:sz w:val="28"/>
          <w:szCs w:val="28"/>
        </w:rPr>
        <w:t>бактрамина</w:t>
      </w:r>
      <w:proofErr w:type="spellEnd"/>
      <w:r w:rsidRPr="00624FF2">
        <w:rPr>
          <w:rFonts w:ascii="Times New Roman" w:hAnsi="Times New Roman" w:cs="Times New Roman"/>
          <w:sz w:val="28"/>
          <w:szCs w:val="28"/>
        </w:rPr>
        <w:t xml:space="preserve"> будет единственн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624FF2">
        <w:rPr>
          <w:rFonts w:ascii="Times New Roman" w:hAnsi="Times New Roman" w:cs="Times New Roman"/>
          <w:sz w:val="28"/>
          <w:szCs w:val="28"/>
        </w:rPr>
        <w:t xml:space="preserve"> медицинск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624F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затратами</w:t>
      </w:r>
      <w:r w:rsidRPr="00624FF2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624FF2">
        <w:rPr>
          <w:rFonts w:ascii="Times New Roman" w:hAnsi="Times New Roman" w:cs="Times New Roman"/>
          <w:sz w:val="28"/>
          <w:szCs w:val="28"/>
        </w:rPr>
        <w:t xml:space="preserve"> буд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24FF2">
        <w:rPr>
          <w:rFonts w:ascii="Times New Roman" w:hAnsi="Times New Roman" w:cs="Times New Roman"/>
          <w:sz w:val="28"/>
          <w:szCs w:val="28"/>
        </w:rPr>
        <w:t>т отличаться между двумя группами.</w:t>
      </w:r>
    </w:p>
    <w:p w14:paraId="7B4F58D8" w14:textId="77777777" w:rsidR="005853D3" w:rsidRPr="00624FF2" w:rsidRDefault="005853D3" w:rsidP="005853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 xml:space="preserve">11. Анализ чувствительности был проведен для оценки стоимости лекарств и </w:t>
      </w:r>
      <w:r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Pr="00624FF2">
        <w:rPr>
          <w:rFonts w:ascii="Times New Roman" w:hAnsi="Times New Roman" w:cs="Times New Roman"/>
          <w:sz w:val="28"/>
          <w:szCs w:val="28"/>
        </w:rPr>
        <w:t>полезности. Оба были чувствительны к используемым диапазонам.</w:t>
      </w:r>
    </w:p>
    <w:p w14:paraId="2E10424B" w14:textId="77777777" w:rsidR="005853D3" w:rsidRPr="00624FF2" w:rsidRDefault="005853D3" w:rsidP="005853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>12. Авторы не затрагивали никаких ограничений. Были устранены ограничения, связанные с измерением затрат и результатов.</w:t>
      </w:r>
    </w:p>
    <w:p w14:paraId="40CBF968" w14:textId="77777777" w:rsidR="005853D3" w:rsidRPr="00624FF2" w:rsidRDefault="005853D3" w:rsidP="005853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>13. Хотя пациенты были набраны из 10 клиник, все они были из одного географического района. Сравнение с пациентами в других регионах США может помочь определить степень сходства или различий с другими группами населения.</w:t>
      </w:r>
    </w:p>
    <w:p w14:paraId="6C2BF387" w14:textId="77777777" w:rsidR="005853D3" w:rsidRPr="00624FF2" w:rsidRDefault="005853D3" w:rsidP="005853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>14. Как и в предыдущих исследованиях, результаты были неоднозначными в зависимости от предположений. Был использован узкий взгляд на затраты. Авторам следовало бы рассмотреть некоторые ограничения и дать более подробную информацию о стандартном лечении</w:t>
      </w:r>
    </w:p>
    <w:p w14:paraId="6D2A7FB2" w14:textId="77777777" w:rsidR="005853D3" w:rsidRDefault="005853D3" w:rsidP="005853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271C109" w14:textId="77777777" w:rsidR="005853D3" w:rsidRPr="005737F9" w:rsidRDefault="005853D3" w:rsidP="005853D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КЛЮЧ-ТАБЛИЦА К ОЦЕНКЕ КАЧЕСТВА ЖИЗНИ ПО ОПРОСНИКУ </w:t>
      </w:r>
      <w:r>
        <w:rPr>
          <w:rFonts w:ascii="Times New Roman" w:hAnsi="Times New Roman" w:cs="Times New Roman"/>
          <w:sz w:val="28"/>
          <w:szCs w:val="28"/>
          <w:lang w:val="en-US"/>
        </w:rPr>
        <w:t>EA</w:t>
      </w:r>
      <w:r w:rsidRPr="005737F9">
        <w:rPr>
          <w:rFonts w:ascii="Times New Roman" w:hAnsi="Times New Roman" w:cs="Times New Roman"/>
          <w:sz w:val="28"/>
          <w:szCs w:val="28"/>
        </w:rPr>
        <w:t>-5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14:paraId="31072301" w14:textId="77777777" w:rsidR="005853D3" w:rsidRDefault="005853D3" w:rsidP="00585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33D0654B" wp14:editId="5CCAC323">
            <wp:extent cx="5848350" cy="6829425"/>
            <wp:effectExtent l="0" t="0" r="0" b="9525"/>
            <wp:docPr id="242" name="Рисунок 242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Рисунок 242" descr="Изображение выглядит как ст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68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6A1B2" w14:textId="77777777" w:rsidR="005853D3" w:rsidRDefault="005853D3" w:rsidP="00585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69AD0E33" wp14:editId="2F06975D">
            <wp:extent cx="5848350" cy="8105775"/>
            <wp:effectExtent l="0" t="0" r="0" b="9525"/>
            <wp:docPr id="243" name="Рисунок 243" descr="Изображение выглядит как текст, квитанц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Рисунок 243" descr="Изображение выглядит как текст, квитанц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61CAE" w14:textId="77777777" w:rsidR="005853D3" w:rsidRDefault="005853D3" w:rsidP="00585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2AE9A6A6" wp14:editId="60AAFC4E">
            <wp:extent cx="5848350" cy="2333625"/>
            <wp:effectExtent l="0" t="0" r="0" b="9525"/>
            <wp:docPr id="244" name="Рисунок 244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Рисунок 244" descr="Изображение выглядит как ст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71229" w14:textId="77777777" w:rsidR="005853D3" w:rsidRDefault="005853D3" w:rsidP="005853D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624FF2">
        <w:rPr>
          <w:rFonts w:ascii="Times New Roman" w:hAnsi="Times New Roman" w:cs="Times New Roman"/>
          <w:i/>
          <w:iCs/>
          <w:sz w:val="28"/>
          <w:szCs w:val="28"/>
        </w:rPr>
        <w:t>SE указывает на стандартную ошибку.</w:t>
      </w:r>
    </w:p>
    <w:p w14:paraId="52ACCD43" w14:textId="77777777" w:rsidR="00B429BE" w:rsidRDefault="00B429BE"/>
    <w:sectPr w:rsidR="00B429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82588" w14:textId="77777777" w:rsidR="00B3118F" w:rsidRDefault="00B3118F" w:rsidP="0094636A">
      <w:pPr>
        <w:spacing w:after="0" w:line="240" w:lineRule="auto"/>
      </w:pPr>
      <w:r>
        <w:separator/>
      </w:r>
    </w:p>
  </w:endnote>
  <w:endnote w:type="continuationSeparator" w:id="0">
    <w:p w14:paraId="368DD009" w14:textId="77777777" w:rsidR="00B3118F" w:rsidRDefault="00B3118F" w:rsidP="00946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8C798" w14:textId="77777777" w:rsidR="0094636A" w:rsidRDefault="009463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838D" w14:textId="77777777" w:rsidR="0094636A" w:rsidRDefault="0094636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BD9F7" w14:textId="77777777" w:rsidR="0094636A" w:rsidRDefault="009463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2A00B" w14:textId="77777777" w:rsidR="00B3118F" w:rsidRDefault="00B3118F" w:rsidP="0094636A">
      <w:pPr>
        <w:spacing w:after="0" w:line="240" w:lineRule="auto"/>
      </w:pPr>
      <w:r>
        <w:separator/>
      </w:r>
    </w:p>
  </w:footnote>
  <w:footnote w:type="continuationSeparator" w:id="0">
    <w:p w14:paraId="3712FF90" w14:textId="77777777" w:rsidR="00B3118F" w:rsidRDefault="00B3118F" w:rsidP="00946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DC667" w14:textId="6C471CEC" w:rsidR="0094636A" w:rsidRDefault="0094636A">
    <w:pPr>
      <w:pStyle w:val="a4"/>
    </w:pPr>
    <w:r>
      <w:rPr>
        <w:noProof/>
      </w:rPr>
      <w:pict w14:anchorId="7F2D68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6483813" o:spid="_x0000_s1026" type="#_x0000_t75" style="position:absolute;margin-left:0;margin-top:0;width:680.2pt;height:340.3pt;z-index:-251657216;mso-position-horizontal:center;mso-position-horizontal-relative:margin;mso-position-vertical:center;mso-position-vertical-relative:margin" o:allowincell="f">
          <v:imagedata r:id="rId1" o:title="Лого ЭМЗ_без кафедры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EEBBC" w14:textId="0C040822" w:rsidR="0094636A" w:rsidRDefault="0094636A">
    <w:pPr>
      <w:pStyle w:val="a4"/>
    </w:pPr>
    <w:r>
      <w:rPr>
        <w:noProof/>
      </w:rPr>
      <w:pict w14:anchorId="11B8C7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6483814" o:spid="_x0000_s1027" type="#_x0000_t75" style="position:absolute;margin-left:0;margin-top:0;width:680.2pt;height:340.3pt;z-index:-251656192;mso-position-horizontal:center;mso-position-horizontal-relative:margin;mso-position-vertical:center;mso-position-vertical-relative:margin" o:allowincell="f">
          <v:imagedata r:id="rId1" o:title="Лого ЭМЗ_без кафедры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ABEE7" w14:textId="02C5DCA5" w:rsidR="0094636A" w:rsidRDefault="0094636A">
    <w:pPr>
      <w:pStyle w:val="a4"/>
    </w:pPr>
    <w:r>
      <w:rPr>
        <w:noProof/>
      </w:rPr>
      <w:pict w14:anchorId="7BAE64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6483812" o:spid="_x0000_s1025" type="#_x0000_t75" style="position:absolute;margin-left:0;margin-top:0;width:680.2pt;height:340.3pt;z-index:-251658240;mso-position-horizontal:center;mso-position-horizontal-relative:margin;mso-position-vertical:center;mso-position-vertical-relative:margin" o:allowincell="f">
          <v:imagedata r:id="rId1" o:title="Лого ЭМЗ_без кафедры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D3"/>
    <w:rsid w:val="00021C68"/>
    <w:rsid w:val="005853D3"/>
    <w:rsid w:val="0094636A"/>
    <w:rsid w:val="00B3118F"/>
    <w:rsid w:val="00B4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4ACF6"/>
  <w15:chartTrackingRefBased/>
  <w15:docId w15:val="{3FA6F815-0CE1-49C2-BD6C-E399F558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6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636A"/>
  </w:style>
  <w:style w:type="paragraph" w:styleId="a6">
    <w:name w:val="footer"/>
    <w:basedOn w:val="a"/>
    <w:link w:val="a7"/>
    <w:uiPriority w:val="99"/>
    <w:unhideWhenUsed/>
    <w:rsid w:val="00946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6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1177</Words>
  <Characters>6709</Characters>
  <Application>Microsoft Office Word</Application>
  <DocSecurity>0</DocSecurity>
  <Lines>55</Lines>
  <Paragraphs>15</Paragraphs>
  <ScaleCrop>false</ScaleCrop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Adelina Kochubei</dc:creator>
  <cp:keywords/>
  <dc:description/>
  <cp:lastModifiedBy>Adelina Kochubei</cp:lastModifiedBy>
  <cp:revision>2</cp:revision>
  <dcterms:created xsi:type="dcterms:W3CDTF">2022-03-30T19:14:00Z</dcterms:created>
  <dcterms:modified xsi:type="dcterms:W3CDTF">2022-03-30T19:15:00Z</dcterms:modified>
</cp:coreProperties>
</file>